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4D212" w14:textId="6FE6E073" w:rsidR="00781593" w:rsidRDefault="00781593" w:rsidP="00781593">
      <w:pPr>
        <w:jc w:val="right"/>
      </w:pPr>
      <w:bookmarkStart w:id="0" w:name="_GoBack"/>
      <w:r>
        <w:rPr>
          <w:noProof/>
        </w:rPr>
        <w:drawing>
          <wp:anchor distT="0" distB="0" distL="114300" distR="114300" simplePos="0" relativeHeight="251660288" behindDoc="1" locked="0" layoutInCell="1" allowOverlap="1" wp14:anchorId="721F72AF" wp14:editId="0F22A2CF">
            <wp:simplePos x="0" y="0"/>
            <wp:positionH relativeFrom="column">
              <wp:posOffset>4363406</wp:posOffset>
            </wp:positionH>
            <wp:positionV relativeFrom="paragraph">
              <wp:posOffset>-474321</wp:posOffset>
            </wp:positionV>
            <wp:extent cx="1863684" cy="1397763"/>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png"/>
                    <pic:cNvPicPr/>
                  </pic:nvPicPr>
                  <pic:blipFill>
                    <a:blip r:embed="rId4">
                      <a:extLst>
                        <a:ext uri="{28A0092B-C50C-407E-A947-70E740481C1C}">
                          <a14:useLocalDpi xmlns:a14="http://schemas.microsoft.com/office/drawing/2010/main" val="0"/>
                        </a:ext>
                      </a:extLst>
                    </a:blip>
                    <a:stretch>
                      <a:fillRect/>
                    </a:stretch>
                  </pic:blipFill>
                  <pic:spPr>
                    <a:xfrm>
                      <a:off x="0" y="0"/>
                      <a:ext cx="1863684" cy="1397763"/>
                    </a:xfrm>
                    <a:prstGeom prst="rect">
                      <a:avLst/>
                    </a:prstGeom>
                  </pic:spPr>
                </pic:pic>
              </a:graphicData>
            </a:graphic>
            <wp14:sizeRelH relativeFrom="page">
              <wp14:pctWidth>0</wp14:pctWidth>
            </wp14:sizeRelH>
            <wp14:sizeRelV relativeFrom="page">
              <wp14:pctHeight>0</wp14:pctHeight>
            </wp14:sizeRelV>
          </wp:anchor>
        </w:drawing>
      </w:r>
      <w:bookmarkEnd w:id="0"/>
    </w:p>
    <w:p w14:paraId="22CBF6E6" w14:textId="77777777" w:rsidR="00781593" w:rsidRDefault="00781593" w:rsidP="00781593"/>
    <w:p w14:paraId="72C1F2DA" w14:textId="77777777" w:rsidR="00781593" w:rsidRDefault="00781593" w:rsidP="00781593"/>
    <w:p w14:paraId="158E7927" w14:textId="77777777" w:rsidR="00781593" w:rsidRDefault="00781593" w:rsidP="00781593"/>
    <w:p w14:paraId="1FD2E1B8" w14:textId="0EE71937" w:rsidR="00C74056" w:rsidRPr="00757D76" w:rsidRDefault="005F7242" w:rsidP="00781593">
      <w:pPr>
        <w:rPr>
          <w:rFonts w:ascii="Century Gothic" w:hAnsi="Century Gothic"/>
        </w:rPr>
      </w:pPr>
      <w:r w:rsidRPr="00757D76">
        <w:rPr>
          <w:rFonts w:ascii="Century Gothic" w:hAnsi="Century Gothic"/>
        </w:rPr>
        <w:t>Working with Adult Men</w:t>
      </w:r>
      <w:r w:rsidR="00781593" w:rsidRPr="00757D76">
        <w:rPr>
          <w:rFonts w:ascii="Century Gothic" w:hAnsi="Century Gothic"/>
        </w:rPr>
        <w:t xml:space="preserve"> Policy </w:t>
      </w:r>
    </w:p>
    <w:p w14:paraId="28B094EF" w14:textId="236114AF" w:rsidR="005F7242" w:rsidRPr="00757D76" w:rsidRDefault="004E68BE" w:rsidP="005F7242">
      <w:pPr>
        <w:rPr>
          <w:rFonts w:ascii="Century Gothic" w:hAnsi="Century Gothic"/>
        </w:rPr>
      </w:pPr>
      <w:r w:rsidRPr="00757D76">
        <w:rPr>
          <w:rFonts w:ascii="Century Gothic" w:hAnsi="Century Gothic"/>
          <w:noProof/>
        </w:rPr>
        <mc:AlternateContent>
          <mc:Choice Requires="wps">
            <w:drawing>
              <wp:anchor distT="0" distB="0" distL="114300" distR="114300" simplePos="0" relativeHeight="251659264" behindDoc="0" locked="0" layoutInCell="1" allowOverlap="1" wp14:anchorId="59B22B15" wp14:editId="232B9E2C">
                <wp:simplePos x="0" y="0"/>
                <wp:positionH relativeFrom="column">
                  <wp:posOffset>-66261</wp:posOffset>
                </wp:positionH>
                <wp:positionV relativeFrom="paragraph">
                  <wp:posOffset>44036</wp:posOffset>
                </wp:positionV>
                <wp:extent cx="6286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BD1A53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3.45pt" to="489.8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" strokecolor="#4472c4 [3204]" strokeweight=".5pt">
                <v:stroke joinstyle="miter"/>
              </v:line>
            </w:pict>
          </mc:Fallback>
        </mc:AlternateContent>
      </w:r>
    </w:p>
    <w:p w14:paraId="7DB1F223" w14:textId="6A144DDE" w:rsidR="00CA40A7" w:rsidRPr="00757D76" w:rsidRDefault="00CA40A7" w:rsidP="005F7242">
      <w:pPr>
        <w:rPr>
          <w:rFonts w:ascii="Century Gothic" w:hAnsi="Century Gothic"/>
          <w:i/>
          <w:color w:val="000000" w:themeColor="text1"/>
        </w:rPr>
      </w:pPr>
      <w:r w:rsidRPr="00757D76">
        <w:rPr>
          <w:rFonts w:ascii="Century Gothic" w:hAnsi="Century Gothic"/>
          <w:i/>
          <w:color w:val="000000" w:themeColor="text1"/>
        </w:rPr>
        <w:t>Purpose</w:t>
      </w:r>
    </w:p>
    <w:p w14:paraId="432C3F4A" w14:textId="77777777" w:rsidR="00CA40A7" w:rsidRPr="00757D76" w:rsidRDefault="00CA40A7" w:rsidP="005F7242">
      <w:pPr>
        <w:rPr>
          <w:rFonts w:ascii="Century Gothic" w:hAnsi="Century Gothic"/>
          <w:b/>
          <w:color w:val="000000" w:themeColor="text1"/>
          <w:u w:val="single"/>
        </w:rPr>
      </w:pPr>
    </w:p>
    <w:p w14:paraId="194E4E5F" w14:textId="708F7FF1" w:rsidR="005F7242" w:rsidRDefault="006827E0" w:rsidP="005F7242">
      <w:pPr>
        <w:rPr>
          <w:rFonts w:ascii="Century Gothic" w:hAnsi="Century Gothic"/>
          <w:color w:val="000000" w:themeColor="text1"/>
        </w:rPr>
      </w:pPr>
      <w:r w:rsidRPr="00757D76">
        <w:rPr>
          <w:rFonts w:ascii="Century Gothic" w:hAnsi="Century Gothic"/>
          <w:color w:val="000000" w:themeColor="text1"/>
        </w:rPr>
        <w:t xml:space="preserve">Research has demonstrated that interpersonal violence impacts persons of all gender identities and expressions, including persons who identify or express themselves as masculine. </w:t>
      </w:r>
      <w:r w:rsidR="005F7242" w:rsidRPr="00757D76">
        <w:rPr>
          <w:rFonts w:ascii="Century Gothic" w:hAnsi="Century Gothic"/>
          <w:color w:val="000000" w:themeColor="text1"/>
        </w:rPr>
        <w:t xml:space="preserve">The Phoenix Center at </w:t>
      </w:r>
      <w:proofErr w:type="spellStart"/>
      <w:r w:rsidR="005F7242" w:rsidRPr="00757D76">
        <w:rPr>
          <w:rFonts w:ascii="Century Gothic" w:hAnsi="Century Gothic"/>
          <w:color w:val="000000" w:themeColor="text1"/>
        </w:rPr>
        <w:t>Auraria|Anschutz</w:t>
      </w:r>
      <w:proofErr w:type="spellEnd"/>
      <w:r w:rsidR="005F7242" w:rsidRPr="00757D76">
        <w:rPr>
          <w:rFonts w:ascii="Century Gothic" w:hAnsi="Century Gothic"/>
          <w:color w:val="000000" w:themeColor="text1"/>
        </w:rPr>
        <w:t xml:space="preserve"> is committed to serving survivors of </w:t>
      </w:r>
      <w:r w:rsidR="00F817B7">
        <w:rPr>
          <w:rFonts w:ascii="Century Gothic" w:hAnsi="Century Gothic"/>
          <w:color w:val="000000" w:themeColor="text1"/>
        </w:rPr>
        <w:t xml:space="preserve">interpersonal </w:t>
      </w:r>
      <w:r w:rsidR="005F7242" w:rsidRPr="00757D76">
        <w:rPr>
          <w:rFonts w:ascii="Century Gothic" w:hAnsi="Century Gothic"/>
          <w:color w:val="000000" w:themeColor="text1"/>
        </w:rPr>
        <w:t xml:space="preserve">violence without prejudice regarding actual or perceived sex, sexual orientation, gender identity, or gender expression.  The purpose of this Policy is to ensure that Phoenix Center at </w:t>
      </w:r>
      <w:proofErr w:type="spellStart"/>
      <w:r w:rsidR="005F7242" w:rsidRPr="00757D76">
        <w:rPr>
          <w:rFonts w:ascii="Century Gothic" w:hAnsi="Century Gothic"/>
          <w:color w:val="000000" w:themeColor="text1"/>
        </w:rPr>
        <w:t>Auraria|Anschutz</w:t>
      </w:r>
      <w:proofErr w:type="spellEnd"/>
      <w:r w:rsidR="005F7242" w:rsidRPr="00757D76">
        <w:rPr>
          <w:rFonts w:ascii="Century Gothic" w:hAnsi="Century Gothic"/>
          <w:color w:val="000000" w:themeColor="text1"/>
        </w:rPr>
        <w:t xml:space="preserve"> provides equal access to all information and services to survivors and will take all reasonable steps within its control to meet the diverse needs of survivors regardless of actual or perceived sex, sexual orientation, gender identity, or gender expression including but not limited to people who identify and/or express themselves as masculine. </w:t>
      </w:r>
    </w:p>
    <w:p w14:paraId="4C2C26AD" w14:textId="54D4AADD" w:rsidR="00370A01" w:rsidRDefault="00370A01" w:rsidP="005F7242">
      <w:pPr>
        <w:rPr>
          <w:rFonts w:ascii="Century Gothic" w:hAnsi="Century Gothic"/>
          <w:color w:val="000000" w:themeColor="text1"/>
        </w:rPr>
      </w:pPr>
    </w:p>
    <w:p w14:paraId="7DABCF53" w14:textId="5202F211" w:rsidR="00370A01" w:rsidRPr="00757D76" w:rsidRDefault="00370A01" w:rsidP="005F7242">
      <w:pPr>
        <w:rPr>
          <w:rFonts w:ascii="Century Gothic" w:hAnsi="Century Gothic"/>
          <w:color w:val="000000" w:themeColor="text1"/>
        </w:rPr>
      </w:pPr>
      <w:r>
        <w:rPr>
          <w:rFonts w:ascii="Century Gothic" w:hAnsi="Century Gothic"/>
          <w:color w:val="000000" w:themeColor="text1"/>
        </w:rPr>
        <w:t>Further information regarding the PCA’s scope of service is available on our website and in our informational brochures.</w:t>
      </w:r>
    </w:p>
    <w:p w14:paraId="6C21592B" w14:textId="77777777" w:rsidR="005F7242" w:rsidRPr="00757D76" w:rsidRDefault="005F7242" w:rsidP="005F7242">
      <w:pPr>
        <w:rPr>
          <w:rFonts w:ascii="Century Gothic" w:hAnsi="Century Gothic"/>
          <w:color w:val="000000" w:themeColor="text1"/>
        </w:rPr>
      </w:pPr>
    </w:p>
    <w:p w14:paraId="52724A2D" w14:textId="2B0F4166" w:rsidR="00CA40A7" w:rsidRPr="00757D76" w:rsidRDefault="00CA40A7" w:rsidP="005F7242">
      <w:pPr>
        <w:rPr>
          <w:rFonts w:ascii="Century Gothic" w:hAnsi="Century Gothic"/>
          <w:i/>
          <w:color w:val="000000" w:themeColor="text1"/>
        </w:rPr>
      </w:pPr>
      <w:r w:rsidRPr="00757D76">
        <w:rPr>
          <w:rFonts w:ascii="Century Gothic" w:hAnsi="Century Gothic"/>
          <w:i/>
          <w:color w:val="000000" w:themeColor="text1"/>
        </w:rPr>
        <w:t xml:space="preserve">Policy </w:t>
      </w:r>
    </w:p>
    <w:p w14:paraId="05947313" w14:textId="77777777" w:rsidR="00CA40A7" w:rsidRPr="00757D76" w:rsidRDefault="00CA40A7" w:rsidP="005F7242">
      <w:pPr>
        <w:rPr>
          <w:rFonts w:ascii="Century Gothic" w:hAnsi="Century Gothic"/>
          <w:i/>
          <w:color w:val="000000" w:themeColor="text1"/>
        </w:rPr>
      </w:pPr>
    </w:p>
    <w:p w14:paraId="5666AB79" w14:textId="33A4A661" w:rsidR="005F7242" w:rsidRPr="00757D76" w:rsidRDefault="005F7242" w:rsidP="005F7242">
      <w:pPr>
        <w:rPr>
          <w:rFonts w:ascii="Century Gothic" w:hAnsi="Century Gothic"/>
          <w:color w:val="000000" w:themeColor="text1"/>
        </w:rPr>
      </w:pPr>
      <w:r w:rsidRPr="00757D76">
        <w:rPr>
          <w:rFonts w:ascii="Century Gothic" w:hAnsi="Century Gothic"/>
          <w:color w:val="000000" w:themeColor="text1"/>
        </w:rPr>
        <w:t xml:space="preserve">Phoenix Center at </w:t>
      </w:r>
      <w:proofErr w:type="spellStart"/>
      <w:r w:rsidRPr="00757D76">
        <w:rPr>
          <w:rFonts w:ascii="Century Gothic" w:hAnsi="Century Gothic"/>
          <w:color w:val="000000" w:themeColor="text1"/>
        </w:rPr>
        <w:t>Auraria|Anschutz</w:t>
      </w:r>
      <w:proofErr w:type="spellEnd"/>
      <w:r w:rsidRPr="00757D76">
        <w:rPr>
          <w:rFonts w:ascii="Century Gothic" w:hAnsi="Century Gothic"/>
          <w:color w:val="000000" w:themeColor="text1"/>
        </w:rPr>
        <w:t xml:space="preserve"> is committed to this policy as the appropriate respo</w:t>
      </w:r>
      <w:r w:rsidR="00F817B7">
        <w:rPr>
          <w:rFonts w:ascii="Century Gothic" w:hAnsi="Century Gothic"/>
          <w:color w:val="000000" w:themeColor="text1"/>
        </w:rPr>
        <w:t>nse to meeting survivors’ needs</w:t>
      </w:r>
      <w:r w:rsidRPr="00757D76">
        <w:rPr>
          <w:rFonts w:ascii="Century Gothic" w:hAnsi="Century Gothic"/>
          <w:color w:val="000000" w:themeColor="text1"/>
        </w:rPr>
        <w:t xml:space="preserve"> and will conform to federal requirements as listed in the section titled “DVP Guidance to Conform with Federal Requirements.”</w:t>
      </w:r>
    </w:p>
    <w:p w14:paraId="19C17292" w14:textId="77777777" w:rsidR="003F0583" w:rsidRPr="00757D76" w:rsidRDefault="003F0583" w:rsidP="00CA40A7">
      <w:pPr>
        <w:rPr>
          <w:rFonts w:ascii="Century Gothic" w:hAnsi="Century Gothic"/>
          <w:color w:val="000000" w:themeColor="text1"/>
        </w:rPr>
      </w:pPr>
    </w:p>
    <w:p w14:paraId="2D55076F" w14:textId="68AF0F80" w:rsidR="003F0583" w:rsidRPr="00757D76" w:rsidRDefault="003F0583" w:rsidP="00CA40A7">
      <w:pPr>
        <w:rPr>
          <w:rFonts w:ascii="Century Gothic" w:hAnsi="Century Gothic"/>
          <w:i/>
          <w:color w:val="000000" w:themeColor="text1"/>
        </w:rPr>
      </w:pPr>
      <w:r w:rsidRPr="00757D76">
        <w:rPr>
          <w:rFonts w:ascii="Century Gothic" w:hAnsi="Century Gothic"/>
          <w:i/>
          <w:color w:val="000000" w:themeColor="text1"/>
        </w:rPr>
        <w:t xml:space="preserve">Best Practices </w:t>
      </w:r>
    </w:p>
    <w:p w14:paraId="5FE7A635" w14:textId="77777777" w:rsidR="003F0583" w:rsidRPr="00757D76" w:rsidRDefault="003F0583" w:rsidP="00CA40A7">
      <w:pPr>
        <w:rPr>
          <w:rFonts w:ascii="Century Gothic" w:hAnsi="Century Gothic"/>
          <w:color w:val="000000" w:themeColor="text1"/>
        </w:rPr>
      </w:pPr>
    </w:p>
    <w:tbl>
      <w:tblPr>
        <w:tblW w:w="9980" w:type="dxa"/>
        <w:tblBorders>
          <w:top w:val="single" w:sz="8" w:space="0" w:color="815374"/>
          <w:left w:val="single" w:sz="8" w:space="0" w:color="815374"/>
          <w:bottom w:val="single" w:sz="8" w:space="0" w:color="815374"/>
          <w:right w:val="single" w:sz="8" w:space="0" w:color="815374"/>
          <w:insideH w:val="single" w:sz="8" w:space="0" w:color="815374"/>
          <w:insideV w:val="single" w:sz="8" w:space="0" w:color="815374"/>
        </w:tblBorders>
        <w:tblLayout w:type="fixed"/>
        <w:tblCellMar>
          <w:top w:w="43" w:type="dxa"/>
          <w:left w:w="115" w:type="dxa"/>
          <w:bottom w:w="43" w:type="dxa"/>
          <w:right w:w="115" w:type="dxa"/>
        </w:tblCellMar>
        <w:tblLook w:val="0400" w:firstRow="0" w:lastRow="0" w:firstColumn="0" w:lastColumn="0" w:noHBand="0" w:noVBand="1"/>
      </w:tblPr>
      <w:tblGrid>
        <w:gridCol w:w="1818"/>
        <w:gridCol w:w="8162"/>
      </w:tblGrid>
      <w:tr w:rsidR="003F0583" w:rsidRPr="00757D76" w14:paraId="3A5EE104" w14:textId="77777777" w:rsidTr="00757D76">
        <w:tc>
          <w:tcPr>
            <w:tcW w:w="1818" w:type="dxa"/>
            <w:shd w:val="clear" w:color="auto" w:fill="E7DAE4"/>
            <w:vAlign w:val="center"/>
          </w:tcPr>
          <w:p w14:paraId="0960C16E" w14:textId="77777777" w:rsidR="003F0583" w:rsidRPr="00757D76" w:rsidRDefault="003F0583" w:rsidP="00BE076C">
            <w:pPr>
              <w:jc w:val="center"/>
              <w:rPr>
                <w:rFonts w:ascii="Century Gothic" w:hAnsi="Century Gothic"/>
                <w:b/>
                <w:color w:val="5C6670"/>
              </w:rPr>
            </w:pPr>
            <w:r w:rsidRPr="00757D76">
              <w:rPr>
                <w:rFonts w:ascii="Century Gothic" w:hAnsi="Century Gothic"/>
                <w:b/>
                <w:color w:val="5C6670"/>
              </w:rPr>
              <w:t>Point of Service Contact</w:t>
            </w:r>
          </w:p>
        </w:tc>
        <w:tc>
          <w:tcPr>
            <w:tcW w:w="8162" w:type="dxa"/>
            <w:shd w:val="clear" w:color="auto" w:fill="E7DAE4"/>
            <w:vAlign w:val="center"/>
          </w:tcPr>
          <w:p w14:paraId="5FE946E4" w14:textId="77777777" w:rsidR="003F0583" w:rsidRPr="00757D76" w:rsidRDefault="003F0583" w:rsidP="00757D76">
            <w:pPr>
              <w:tabs>
                <w:tab w:val="left" w:pos="8696"/>
              </w:tabs>
              <w:jc w:val="center"/>
              <w:rPr>
                <w:rFonts w:ascii="Century Gothic" w:hAnsi="Century Gothic"/>
                <w:b/>
                <w:color w:val="5C6670"/>
              </w:rPr>
            </w:pPr>
            <w:r w:rsidRPr="00757D76">
              <w:rPr>
                <w:rFonts w:ascii="Century Gothic" w:hAnsi="Century Gothic"/>
                <w:b/>
                <w:color w:val="5C6670"/>
              </w:rPr>
              <w:t>Examples of Working with Survivors of All Genders</w:t>
            </w:r>
          </w:p>
          <w:p w14:paraId="13518B6F" w14:textId="77777777" w:rsidR="003F0583" w:rsidRPr="00757D76" w:rsidRDefault="003F0583" w:rsidP="00BE076C">
            <w:pPr>
              <w:jc w:val="center"/>
              <w:rPr>
                <w:rFonts w:ascii="Century Gothic" w:hAnsi="Century Gothic"/>
                <w:b/>
                <w:color w:val="0000FF"/>
              </w:rPr>
            </w:pPr>
            <w:r w:rsidRPr="00757D76">
              <w:rPr>
                <w:rFonts w:ascii="Century Gothic" w:hAnsi="Century Gothic"/>
                <w:b/>
                <w:color w:val="5C6670"/>
              </w:rPr>
              <w:t>Best Practices</w:t>
            </w:r>
          </w:p>
        </w:tc>
      </w:tr>
      <w:tr w:rsidR="003F0583" w:rsidRPr="00757D76" w14:paraId="2AD59CA8" w14:textId="77777777" w:rsidTr="00757D76">
        <w:trPr>
          <w:trHeight w:val="1053"/>
        </w:trPr>
        <w:tc>
          <w:tcPr>
            <w:tcW w:w="1818" w:type="dxa"/>
            <w:vAlign w:val="center"/>
          </w:tcPr>
          <w:p w14:paraId="64EB1910" w14:textId="77777777" w:rsidR="003F0583" w:rsidRPr="00757D76" w:rsidRDefault="003F0583" w:rsidP="00BE076C">
            <w:pPr>
              <w:rPr>
                <w:rFonts w:ascii="Century Gothic" w:hAnsi="Century Gothic"/>
                <w:color w:val="5C6670"/>
              </w:rPr>
            </w:pPr>
            <w:r w:rsidRPr="00757D76">
              <w:rPr>
                <w:rFonts w:ascii="Century Gothic" w:hAnsi="Century Gothic"/>
                <w:color w:val="5C6670"/>
              </w:rPr>
              <w:t>Crisis Line</w:t>
            </w:r>
          </w:p>
        </w:tc>
        <w:tc>
          <w:tcPr>
            <w:tcW w:w="8162" w:type="dxa"/>
            <w:vAlign w:val="center"/>
          </w:tcPr>
          <w:p w14:paraId="2A2D6703" w14:textId="4DC0C122" w:rsidR="003F0583" w:rsidRPr="00757D76" w:rsidRDefault="003F0583" w:rsidP="00757D76">
            <w:pPr>
              <w:ind w:right="374"/>
              <w:rPr>
                <w:rFonts w:ascii="Century Gothic" w:hAnsi="Century Gothic"/>
                <w:color w:val="5C6670"/>
              </w:rPr>
            </w:pPr>
            <w:r w:rsidRPr="00757D76">
              <w:rPr>
                <w:rFonts w:ascii="Century Gothic" w:hAnsi="Century Gothic"/>
                <w:color w:val="5C6670"/>
              </w:rPr>
              <w:t>All crisis line advocates are trained to respond appropriately to callers’ needs regardless of actual or perceived sex, sexual orientation, gender identity, or gender expression including but not limited to persons who identify and/or express their gender identity as masculine. All advocacy screening tools and intake forms are designed to meet all survivor needs.</w:t>
            </w:r>
          </w:p>
        </w:tc>
      </w:tr>
      <w:tr w:rsidR="006827E0" w:rsidRPr="00757D76" w14:paraId="4A90D6DC" w14:textId="77777777" w:rsidTr="00757D76">
        <w:tc>
          <w:tcPr>
            <w:tcW w:w="1818" w:type="dxa"/>
            <w:vAlign w:val="center"/>
          </w:tcPr>
          <w:p w14:paraId="3D1FD945" w14:textId="25F6C8E8" w:rsidR="006827E0" w:rsidRPr="00757D76" w:rsidRDefault="006827E0" w:rsidP="00BE076C">
            <w:pPr>
              <w:rPr>
                <w:rFonts w:ascii="Century Gothic" w:hAnsi="Century Gothic"/>
                <w:color w:val="5C6670"/>
              </w:rPr>
            </w:pPr>
            <w:r w:rsidRPr="00757D76">
              <w:rPr>
                <w:rFonts w:ascii="Century Gothic" w:hAnsi="Century Gothic"/>
                <w:color w:val="5C6670"/>
              </w:rPr>
              <w:lastRenderedPageBreak/>
              <w:t>Community-Based Services</w:t>
            </w:r>
          </w:p>
        </w:tc>
        <w:tc>
          <w:tcPr>
            <w:tcW w:w="8162" w:type="dxa"/>
            <w:vAlign w:val="center"/>
          </w:tcPr>
          <w:p w14:paraId="09DEFCB1" w14:textId="07862C0D" w:rsidR="006827E0" w:rsidRPr="00757D76" w:rsidRDefault="006827E0" w:rsidP="003F0583">
            <w:pPr>
              <w:rPr>
                <w:rFonts w:ascii="Century Gothic" w:hAnsi="Century Gothic"/>
                <w:color w:val="5C6670"/>
              </w:rPr>
            </w:pPr>
            <w:r w:rsidRPr="00757D76">
              <w:rPr>
                <w:rFonts w:ascii="Century Gothic" w:hAnsi="Century Gothic"/>
                <w:color w:val="5C6670"/>
              </w:rPr>
              <w:t xml:space="preserve">All community-based advocates must provide services (advocacy, counseling, support groups, etc.) to all survivors regardless of actual or perceived sex, sexual orientation, gender identity, or gender expression. All advocacy screening tools and intake forms are designed to meet all survivor needs including appropriate referrals.  </w:t>
            </w:r>
          </w:p>
        </w:tc>
      </w:tr>
      <w:tr w:rsidR="006827E0" w:rsidRPr="00757D76" w14:paraId="0D38B044" w14:textId="77777777" w:rsidTr="00757D76">
        <w:tc>
          <w:tcPr>
            <w:tcW w:w="1818" w:type="dxa"/>
            <w:vAlign w:val="center"/>
          </w:tcPr>
          <w:p w14:paraId="2664CBA5" w14:textId="52CEDB85" w:rsidR="006827E0" w:rsidRPr="00757D76" w:rsidRDefault="006827E0" w:rsidP="00BE076C">
            <w:pPr>
              <w:rPr>
                <w:rFonts w:ascii="Century Gothic" w:hAnsi="Century Gothic"/>
                <w:color w:val="5C6670"/>
              </w:rPr>
            </w:pPr>
            <w:r w:rsidRPr="00757D76">
              <w:rPr>
                <w:rFonts w:ascii="Century Gothic" w:hAnsi="Century Gothic"/>
                <w:color w:val="5C6670"/>
              </w:rPr>
              <w:t>Community Events</w:t>
            </w:r>
          </w:p>
        </w:tc>
        <w:tc>
          <w:tcPr>
            <w:tcW w:w="8162" w:type="dxa"/>
            <w:vAlign w:val="center"/>
          </w:tcPr>
          <w:p w14:paraId="03E5429A" w14:textId="64C86DB5" w:rsidR="006827E0" w:rsidRPr="00757D76" w:rsidRDefault="006827E0" w:rsidP="003F0583">
            <w:pPr>
              <w:rPr>
                <w:rFonts w:ascii="Century Gothic" w:hAnsi="Century Gothic"/>
                <w:color w:val="5C6670"/>
              </w:rPr>
            </w:pPr>
            <w:r w:rsidRPr="00757D76">
              <w:rPr>
                <w:rFonts w:ascii="Century Gothic" w:hAnsi="Century Gothic"/>
                <w:color w:val="5C6670"/>
              </w:rPr>
              <w:t>All community events are open to individuals regardless of perceived sex, sexual orientation, gender identity, or gender expression. Community events will inform the community that all services are available free of charge to all survivors of domestic violence regardless of actual or perceived sex, sexual orientation, gender identity, or gender expression.</w:t>
            </w:r>
          </w:p>
        </w:tc>
      </w:tr>
      <w:tr w:rsidR="006827E0" w:rsidRPr="00757D76" w14:paraId="2CCF83A8" w14:textId="77777777" w:rsidTr="00757D76">
        <w:tc>
          <w:tcPr>
            <w:tcW w:w="1818" w:type="dxa"/>
            <w:vAlign w:val="center"/>
          </w:tcPr>
          <w:p w14:paraId="68E07C90" w14:textId="2FFA9A0D" w:rsidR="006827E0" w:rsidRPr="00757D76" w:rsidRDefault="006827E0" w:rsidP="00BE076C">
            <w:pPr>
              <w:rPr>
                <w:rFonts w:ascii="Century Gothic" w:hAnsi="Century Gothic"/>
                <w:color w:val="5C6670"/>
              </w:rPr>
            </w:pPr>
            <w:r w:rsidRPr="00757D76">
              <w:rPr>
                <w:rFonts w:ascii="Century Gothic" w:hAnsi="Century Gothic"/>
                <w:color w:val="5C6670"/>
              </w:rPr>
              <w:t>Written Materials</w:t>
            </w:r>
          </w:p>
        </w:tc>
        <w:tc>
          <w:tcPr>
            <w:tcW w:w="8162" w:type="dxa"/>
            <w:vAlign w:val="center"/>
          </w:tcPr>
          <w:p w14:paraId="3BF4AC48" w14:textId="52977E9F" w:rsidR="006827E0" w:rsidRPr="00757D76" w:rsidRDefault="006827E0" w:rsidP="00BE076C">
            <w:pPr>
              <w:rPr>
                <w:rFonts w:ascii="Century Gothic" w:hAnsi="Century Gothic"/>
                <w:color w:val="5C6670"/>
              </w:rPr>
            </w:pPr>
            <w:r w:rsidRPr="00757D76">
              <w:rPr>
                <w:rFonts w:ascii="Century Gothic" w:hAnsi="Century Gothic"/>
                <w:color w:val="5C6670"/>
              </w:rPr>
              <w:t xml:space="preserve">All Phoenix Center at </w:t>
            </w:r>
            <w:proofErr w:type="spellStart"/>
            <w:r w:rsidRPr="00757D76">
              <w:rPr>
                <w:rFonts w:ascii="Century Gothic" w:hAnsi="Century Gothic"/>
                <w:color w:val="5C6670"/>
              </w:rPr>
              <w:t>Auraria|Anschutz</w:t>
            </w:r>
            <w:proofErr w:type="spellEnd"/>
            <w:r w:rsidRPr="00757D76">
              <w:rPr>
                <w:rFonts w:ascii="Century Gothic" w:hAnsi="Century Gothic"/>
                <w:color w:val="5C6670"/>
              </w:rPr>
              <w:t xml:space="preserve"> written materials including the Client Rights form, brochures, flyers, educational information, website content will use gender inclusive language such as pronouns that ensure the community is informed that services are available to individuals regardless of actual or perceived sex, sexual orientation, gender identity, or gender expression.</w:t>
            </w:r>
          </w:p>
          <w:p w14:paraId="34820B8A" w14:textId="77777777" w:rsidR="006827E0" w:rsidRPr="00757D76" w:rsidRDefault="006827E0" w:rsidP="00BE076C">
            <w:pPr>
              <w:rPr>
                <w:rFonts w:ascii="Century Gothic" w:hAnsi="Century Gothic"/>
                <w:color w:val="5C6670"/>
              </w:rPr>
            </w:pPr>
          </w:p>
          <w:p w14:paraId="7C018E9C" w14:textId="00230EF0" w:rsidR="006827E0" w:rsidRPr="00757D76" w:rsidRDefault="00757D76" w:rsidP="00BE076C">
            <w:pPr>
              <w:rPr>
                <w:rFonts w:ascii="Century Gothic" w:hAnsi="Century Gothic"/>
                <w:color w:val="5C6670"/>
              </w:rPr>
            </w:pPr>
            <w:r w:rsidRPr="00757D76">
              <w:rPr>
                <w:rFonts w:ascii="Century Gothic" w:hAnsi="Century Gothic"/>
                <w:color w:val="5C6670"/>
              </w:rPr>
              <w:t xml:space="preserve">Phoenix Center at </w:t>
            </w:r>
            <w:proofErr w:type="spellStart"/>
            <w:r w:rsidRPr="00757D76">
              <w:rPr>
                <w:rFonts w:ascii="Century Gothic" w:hAnsi="Century Gothic"/>
                <w:color w:val="5C6670"/>
              </w:rPr>
              <w:t>Auraria|Anschutz’s</w:t>
            </w:r>
            <w:proofErr w:type="spellEnd"/>
            <w:r w:rsidRPr="00757D76">
              <w:rPr>
                <w:rFonts w:ascii="Century Gothic" w:hAnsi="Century Gothic"/>
                <w:color w:val="5C6670"/>
              </w:rPr>
              <w:t xml:space="preserve"> </w:t>
            </w:r>
            <w:r w:rsidR="006827E0" w:rsidRPr="00757D76">
              <w:rPr>
                <w:rFonts w:ascii="Century Gothic" w:hAnsi="Century Gothic"/>
                <w:color w:val="5C6670"/>
              </w:rPr>
              <w:t>Client Bill of Rights explicitly references the existence and rights of male and LGBTQ+ survivors.</w:t>
            </w:r>
          </w:p>
          <w:p w14:paraId="62C902F0" w14:textId="77777777" w:rsidR="006827E0" w:rsidRPr="00757D76" w:rsidRDefault="006827E0" w:rsidP="00BE076C">
            <w:pPr>
              <w:rPr>
                <w:rFonts w:ascii="Century Gothic" w:hAnsi="Century Gothic"/>
                <w:color w:val="5C6670"/>
              </w:rPr>
            </w:pPr>
          </w:p>
          <w:p w14:paraId="0717882B" w14:textId="54828C39" w:rsidR="006827E0" w:rsidRPr="00757D76" w:rsidRDefault="006827E0" w:rsidP="003F0583">
            <w:pPr>
              <w:rPr>
                <w:rFonts w:ascii="Century Gothic" w:hAnsi="Century Gothic"/>
                <w:color w:val="5C6670"/>
              </w:rPr>
            </w:pPr>
            <w:r w:rsidRPr="00757D76">
              <w:rPr>
                <w:rFonts w:ascii="Century Gothic" w:hAnsi="Century Gothic"/>
                <w:color w:val="5C6670"/>
              </w:rPr>
              <w:t xml:space="preserve">Vital documents (intake, confidentiality agreement, client rights, etc.) will be gender inclusive to establish access to information and services for all clients regardless of actual or perceived sex, sexual orientation, gender identity, or gender expression. </w:t>
            </w:r>
          </w:p>
        </w:tc>
      </w:tr>
    </w:tbl>
    <w:p w14:paraId="6C49208E" w14:textId="5974E89C" w:rsidR="00CA40A7" w:rsidRPr="00757D76" w:rsidRDefault="00CA40A7" w:rsidP="005F7242">
      <w:pPr>
        <w:rPr>
          <w:rFonts w:ascii="Century Gothic" w:hAnsi="Century Gothic"/>
          <w:color w:val="000000" w:themeColor="text1"/>
        </w:rPr>
      </w:pPr>
    </w:p>
    <w:p w14:paraId="697281E4" w14:textId="77777777" w:rsidR="000D2C33" w:rsidRPr="00757D76" w:rsidRDefault="000D2C33" w:rsidP="000D2C33">
      <w:pPr>
        <w:rPr>
          <w:rFonts w:ascii="Century Gothic" w:hAnsi="Century Gothic"/>
          <w:color w:val="000000" w:themeColor="text1"/>
        </w:rPr>
      </w:pPr>
    </w:p>
    <w:p w14:paraId="68EE0987" w14:textId="77777777" w:rsidR="000D2C33" w:rsidRPr="00757D76" w:rsidRDefault="000D2C33" w:rsidP="000D2C33">
      <w:pPr>
        <w:rPr>
          <w:rFonts w:ascii="Century Gothic" w:hAnsi="Century Gothic"/>
          <w:i/>
          <w:color w:val="000000" w:themeColor="text1"/>
        </w:rPr>
      </w:pPr>
      <w:r>
        <w:rPr>
          <w:rFonts w:ascii="Century Gothic" w:hAnsi="Century Gothic"/>
          <w:i/>
          <w:color w:val="000000" w:themeColor="text1"/>
        </w:rPr>
        <w:t xml:space="preserve">Implementation of </w:t>
      </w:r>
      <w:r w:rsidRPr="00757D76">
        <w:rPr>
          <w:rFonts w:ascii="Century Gothic" w:hAnsi="Century Gothic"/>
          <w:i/>
          <w:color w:val="000000" w:themeColor="text1"/>
        </w:rPr>
        <w:t xml:space="preserve">Protocol </w:t>
      </w:r>
    </w:p>
    <w:p w14:paraId="0EF069FF" w14:textId="77777777" w:rsidR="000D2C33" w:rsidRPr="00757D76" w:rsidRDefault="000D2C33" w:rsidP="000D2C33">
      <w:pPr>
        <w:rPr>
          <w:rFonts w:ascii="Century Gothic" w:hAnsi="Century Gothic"/>
          <w:i/>
          <w:color w:val="000000" w:themeColor="text1"/>
        </w:rPr>
      </w:pPr>
    </w:p>
    <w:p w14:paraId="453BEE85" w14:textId="77777777" w:rsidR="000D2C33" w:rsidRDefault="000D2C33" w:rsidP="000D2C33">
      <w:pPr>
        <w:spacing w:line="23" w:lineRule="atLeast"/>
        <w:rPr>
          <w:rFonts w:ascii="Century Gothic" w:hAnsi="Century Gothic"/>
          <w:color w:val="000000" w:themeColor="text1"/>
        </w:rPr>
      </w:pPr>
      <w:r w:rsidRPr="006F21B1">
        <w:rPr>
          <w:rFonts w:ascii="Century Gothic" w:hAnsi="Century Gothic"/>
          <w:b/>
          <w:color w:val="000000" w:themeColor="text1"/>
        </w:rPr>
        <w:t>Training.</w:t>
      </w:r>
      <w:r>
        <w:rPr>
          <w:rFonts w:ascii="Century Gothic" w:hAnsi="Century Gothic"/>
          <w:color w:val="000000" w:themeColor="text1"/>
        </w:rPr>
        <w:t xml:space="preserve"> </w:t>
      </w:r>
      <w:r w:rsidRPr="005B4FF9">
        <w:rPr>
          <w:rFonts w:ascii="Century Gothic" w:hAnsi="Century Gothic"/>
          <w:color w:val="000000" w:themeColor="text1"/>
        </w:rPr>
        <w:t>Phoenix Center staff</w:t>
      </w:r>
      <w:r>
        <w:rPr>
          <w:rFonts w:ascii="Century Gothic" w:hAnsi="Century Gothic"/>
          <w:color w:val="000000" w:themeColor="text1"/>
        </w:rPr>
        <w:t>, student employees, interns and volunteers</w:t>
      </w:r>
      <w:r w:rsidRPr="005B4FF9">
        <w:rPr>
          <w:rFonts w:ascii="Century Gothic" w:hAnsi="Century Gothic"/>
          <w:color w:val="000000" w:themeColor="text1"/>
        </w:rPr>
        <w:t xml:space="preserve"> will be trained on policy and procedures upon employment. Yearly and as-needed refresher trainings will be offered for the duration of employment with The Phoenix Center.</w:t>
      </w:r>
    </w:p>
    <w:p w14:paraId="273A50F7" w14:textId="77777777" w:rsidR="000D2C33" w:rsidRPr="005B4FF9" w:rsidRDefault="000D2C33" w:rsidP="000D2C33">
      <w:pPr>
        <w:spacing w:line="23" w:lineRule="atLeast"/>
        <w:rPr>
          <w:rFonts w:ascii="Century Gothic" w:hAnsi="Century Gothic"/>
          <w:color w:val="000000" w:themeColor="text1"/>
        </w:rPr>
      </w:pPr>
    </w:p>
    <w:p w14:paraId="0340D5BF" w14:textId="77777777" w:rsidR="000D2C33" w:rsidRDefault="000D2C33" w:rsidP="000D2C33">
      <w:pPr>
        <w:rPr>
          <w:rFonts w:ascii="Century Gothic" w:hAnsi="Century Gothic"/>
          <w:color w:val="000000" w:themeColor="text1"/>
        </w:rPr>
      </w:pPr>
      <w:r>
        <w:rPr>
          <w:rFonts w:ascii="Century Gothic" w:hAnsi="Century Gothic"/>
          <w:b/>
          <w:color w:val="000000" w:themeColor="text1"/>
        </w:rPr>
        <w:t xml:space="preserve">Accessibility. </w:t>
      </w:r>
      <w:r>
        <w:rPr>
          <w:rFonts w:ascii="Century Gothic" w:hAnsi="Century Gothic"/>
          <w:color w:val="000000" w:themeColor="text1"/>
        </w:rPr>
        <w:t xml:space="preserve">Policy will be maintained in a publicly accessible digital database as well as in the policy manual located at the PCA front desk. All new staff, student employees, and volunteers will also receive a copy of the policy. </w:t>
      </w:r>
    </w:p>
    <w:p w14:paraId="2E9665FA" w14:textId="0B498153" w:rsidR="000D2C33" w:rsidRDefault="000D2C33" w:rsidP="000D2C33">
      <w:pPr>
        <w:rPr>
          <w:rFonts w:ascii="Century Gothic" w:hAnsi="Century Gothic"/>
          <w:color w:val="000000" w:themeColor="text1"/>
        </w:rPr>
      </w:pPr>
    </w:p>
    <w:p w14:paraId="5AD2F1EC" w14:textId="77777777" w:rsidR="000D2C33" w:rsidRDefault="000D2C33" w:rsidP="000D2C33">
      <w:pPr>
        <w:rPr>
          <w:rFonts w:ascii="Century Gothic" w:hAnsi="Century Gothic"/>
          <w:color w:val="000000" w:themeColor="text1"/>
        </w:rPr>
      </w:pPr>
      <w:r>
        <w:rPr>
          <w:rFonts w:ascii="Century Gothic" w:hAnsi="Century Gothic"/>
          <w:b/>
          <w:color w:val="000000" w:themeColor="text1"/>
        </w:rPr>
        <w:t xml:space="preserve">Review and update. </w:t>
      </w:r>
      <w:r>
        <w:rPr>
          <w:rFonts w:ascii="Century Gothic" w:hAnsi="Century Gothic"/>
          <w:color w:val="000000" w:themeColor="text1"/>
        </w:rPr>
        <w:t xml:space="preserve">Policy will be reviewed on an annual basis during the third calendar quarter and will be updated as needed. </w:t>
      </w:r>
    </w:p>
    <w:p w14:paraId="6997DD39" w14:textId="77777777" w:rsidR="000D2C33" w:rsidRDefault="000D2C33" w:rsidP="000D2C33">
      <w:pPr>
        <w:rPr>
          <w:rFonts w:ascii="Century Gothic" w:hAnsi="Century Gothic"/>
          <w:color w:val="000000" w:themeColor="text1"/>
        </w:rPr>
      </w:pPr>
    </w:p>
    <w:p w14:paraId="020EC288" w14:textId="77777777" w:rsidR="000D2C33" w:rsidRPr="00757D76" w:rsidRDefault="000D2C33" w:rsidP="000D2C33">
      <w:pPr>
        <w:rPr>
          <w:rFonts w:ascii="Century Gothic" w:hAnsi="Century Gothic"/>
          <w:color w:val="000000" w:themeColor="text1"/>
        </w:rPr>
      </w:pPr>
      <w:r>
        <w:rPr>
          <w:rFonts w:ascii="Century Gothic" w:hAnsi="Century Gothic"/>
          <w:b/>
          <w:color w:val="000000" w:themeColor="text1"/>
        </w:rPr>
        <w:lastRenderedPageBreak/>
        <w:t>Concerns.</w:t>
      </w:r>
      <w:r w:rsidRPr="00757D76">
        <w:rPr>
          <w:rFonts w:ascii="Century Gothic" w:hAnsi="Century Gothic"/>
          <w:color w:val="000000" w:themeColor="text1"/>
        </w:rPr>
        <w:t xml:space="preserve"> Employees and volunteers should work directly with supervisors with questions or concerns, or to report difficulties in accessing the indicated resources.</w:t>
      </w:r>
      <w:r>
        <w:rPr>
          <w:rFonts w:ascii="Century Gothic" w:hAnsi="Century Gothic"/>
          <w:color w:val="000000" w:themeColor="text1"/>
        </w:rPr>
        <w:t xml:space="preserve"> </w:t>
      </w:r>
    </w:p>
    <w:p w14:paraId="1B0C015D" w14:textId="15693F82" w:rsidR="004E68BE" w:rsidRDefault="004E68BE">
      <w:pPr>
        <w:rPr>
          <w:rFonts w:ascii="Century Gothic" w:hAnsi="Century Gothic"/>
          <w:color w:val="000000" w:themeColor="text1"/>
        </w:rPr>
      </w:pPr>
    </w:p>
    <w:p w14:paraId="01B615C1" w14:textId="364CB96F" w:rsidR="00943A4F" w:rsidRDefault="00943A4F">
      <w:pPr>
        <w:rPr>
          <w:rFonts w:ascii="Century Gothic" w:hAnsi="Century Gothic"/>
          <w:i/>
          <w:color w:val="000000" w:themeColor="text1"/>
        </w:rPr>
      </w:pPr>
      <w:r>
        <w:rPr>
          <w:rFonts w:ascii="Century Gothic" w:hAnsi="Century Gothic"/>
          <w:i/>
          <w:color w:val="000000" w:themeColor="text1"/>
        </w:rPr>
        <w:t xml:space="preserve">Resources </w:t>
      </w:r>
    </w:p>
    <w:p w14:paraId="3872A374" w14:textId="20F56199" w:rsidR="00943A4F" w:rsidRDefault="00943A4F">
      <w:pPr>
        <w:rPr>
          <w:rFonts w:ascii="Century Gothic" w:hAnsi="Century Gothic"/>
          <w:color w:val="000000" w:themeColor="text1"/>
        </w:rPr>
      </w:pPr>
    </w:p>
    <w:p w14:paraId="00ADF6DD" w14:textId="1F02E217" w:rsidR="00943A4F" w:rsidRDefault="00943A4F">
      <w:pPr>
        <w:rPr>
          <w:rFonts w:ascii="Century Gothic" w:hAnsi="Century Gothic"/>
          <w:color w:val="000000" w:themeColor="text1"/>
        </w:rPr>
      </w:pPr>
      <w:r>
        <w:rPr>
          <w:rFonts w:ascii="Century Gothic" w:hAnsi="Century Gothic"/>
          <w:color w:val="000000" w:themeColor="text1"/>
        </w:rPr>
        <w:t xml:space="preserve">The Blue Bench – Breaking the Silence Support Group </w:t>
      </w:r>
    </w:p>
    <w:p w14:paraId="4CA8551C" w14:textId="6F9AA32E" w:rsidR="00943A4F" w:rsidRDefault="001F27C3" w:rsidP="00943A4F">
      <w:pPr>
        <w:ind w:left="720"/>
        <w:rPr>
          <w:rFonts w:ascii="Century Gothic" w:hAnsi="Century Gothic"/>
          <w:color w:val="000000" w:themeColor="text1"/>
        </w:rPr>
      </w:pPr>
      <w:hyperlink r:id="rId5" w:history="1">
        <w:r w:rsidR="00943A4F" w:rsidRPr="00943A4F">
          <w:rPr>
            <w:rStyle w:val="Hyperlink"/>
            <w:rFonts w:ascii="Century Gothic" w:hAnsi="Century Gothic"/>
          </w:rPr>
          <w:t>https://thebluebench.org/get-help/for-myself/groups-and-workshop-descriptions.html</w:t>
        </w:r>
      </w:hyperlink>
      <w:r w:rsidR="00943A4F">
        <w:rPr>
          <w:rFonts w:ascii="Century Gothic" w:hAnsi="Century Gothic"/>
          <w:color w:val="000000" w:themeColor="text1"/>
        </w:rPr>
        <w:t xml:space="preserve"> </w:t>
      </w:r>
    </w:p>
    <w:p w14:paraId="445952F3" w14:textId="16A61BF8" w:rsidR="00943A4F" w:rsidRDefault="00943A4F" w:rsidP="00943A4F">
      <w:pPr>
        <w:rPr>
          <w:rFonts w:ascii="Century Gothic" w:hAnsi="Century Gothic"/>
          <w:color w:val="000000" w:themeColor="text1"/>
        </w:rPr>
      </w:pPr>
    </w:p>
    <w:p w14:paraId="7D8BB376" w14:textId="3894CC05" w:rsidR="00943A4F" w:rsidRDefault="00943A4F" w:rsidP="00943A4F">
      <w:pPr>
        <w:rPr>
          <w:rFonts w:ascii="Century Gothic" w:hAnsi="Century Gothic"/>
          <w:color w:val="000000" w:themeColor="text1"/>
        </w:rPr>
      </w:pPr>
      <w:r>
        <w:rPr>
          <w:rFonts w:ascii="Century Gothic" w:hAnsi="Century Gothic"/>
          <w:color w:val="000000" w:themeColor="text1"/>
        </w:rPr>
        <w:t>Support for Male Survivors</w:t>
      </w:r>
    </w:p>
    <w:p w14:paraId="3F639B22" w14:textId="01EADFBE" w:rsidR="00943A4F" w:rsidRPr="00943A4F" w:rsidRDefault="00943A4F" w:rsidP="00943A4F">
      <w:pPr>
        <w:rPr>
          <w:rFonts w:ascii="Century Gothic" w:hAnsi="Century Gothic"/>
        </w:rPr>
      </w:pPr>
      <w:r>
        <w:rPr>
          <w:rFonts w:ascii="Century Gothic" w:hAnsi="Century Gothic"/>
          <w:color w:val="000000" w:themeColor="text1"/>
        </w:rPr>
        <w:tab/>
      </w:r>
      <w:hyperlink r:id="rId6" w:history="1">
        <w:r w:rsidRPr="0032236A">
          <w:rPr>
            <w:rStyle w:val="Hyperlink"/>
            <w:rFonts w:ascii="Century Gothic" w:hAnsi="Century Gothic"/>
          </w:rPr>
          <w:t>https://1in6.org</w:t>
        </w:r>
      </w:hyperlink>
      <w:r>
        <w:rPr>
          <w:rFonts w:ascii="Century Gothic" w:hAnsi="Century Gothic"/>
          <w:color w:val="000000" w:themeColor="text1"/>
        </w:rPr>
        <w:t xml:space="preserve"> </w:t>
      </w:r>
    </w:p>
    <w:sectPr w:rsidR="00943A4F" w:rsidRPr="00943A4F" w:rsidSect="004F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BE"/>
    <w:rsid w:val="00050078"/>
    <w:rsid w:val="000D2C33"/>
    <w:rsid w:val="00141593"/>
    <w:rsid w:val="001B1430"/>
    <w:rsid w:val="001F27C3"/>
    <w:rsid w:val="00370A01"/>
    <w:rsid w:val="00385B7C"/>
    <w:rsid w:val="003F0583"/>
    <w:rsid w:val="00464C21"/>
    <w:rsid w:val="004E68BE"/>
    <w:rsid w:val="004F3F8F"/>
    <w:rsid w:val="005B379C"/>
    <w:rsid w:val="005F7242"/>
    <w:rsid w:val="006827E0"/>
    <w:rsid w:val="00691006"/>
    <w:rsid w:val="00757D76"/>
    <w:rsid w:val="00781593"/>
    <w:rsid w:val="00791FBF"/>
    <w:rsid w:val="007D216F"/>
    <w:rsid w:val="00943A4F"/>
    <w:rsid w:val="00A05167"/>
    <w:rsid w:val="00B801BA"/>
    <w:rsid w:val="00C82312"/>
    <w:rsid w:val="00CA40A7"/>
    <w:rsid w:val="00F8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E9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rsid w:val="005F7242"/>
    <w:pPr>
      <w:keepNext/>
      <w:keepLines/>
      <w:pBdr>
        <w:top w:val="nil"/>
        <w:left w:val="nil"/>
        <w:bottom w:val="nil"/>
        <w:right w:val="nil"/>
        <w:between w:val="nil"/>
      </w:pBdr>
      <w:spacing w:before="200" w:line="276" w:lineRule="auto"/>
      <w:outlineLvl w:val="1"/>
    </w:pPr>
    <w:rPr>
      <w:rFonts w:ascii="Trebuchet MS" w:eastAsia="Trebuchet MS" w:hAnsi="Trebuchet MS" w:cs="Trebuchet MS"/>
      <w:b/>
      <w:color w:val="81537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7242"/>
    <w:rPr>
      <w:rFonts w:ascii="Trebuchet MS" w:eastAsia="Trebuchet MS" w:hAnsi="Trebuchet MS" w:cs="Trebuchet MS"/>
      <w:b/>
      <w:color w:val="815374"/>
      <w:sz w:val="26"/>
      <w:szCs w:val="26"/>
    </w:rPr>
  </w:style>
  <w:style w:type="character" w:styleId="Hyperlink">
    <w:name w:val="Hyperlink"/>
    <w:basedOn w:val="DefaultParagraphFont"/>
    <w:uiPriority w:val="99"/>
    <w:unhideWhenUsed/>
    <w:rsid w:val="00943A4F"/>
    <w:rPr>
      <w:color w:val="0563C1" w:themeColor="hyperlink"/>
      <w:u w:val="single"/>
    </w:rPr>
  </w:style>
  <w:style w:type="character" w:styleId="UnresolvedMention">
    <w:name w:val="Unresolved Mention"/>
    <w:basedOn w:val="DefaultParagraphFont"/>
    <w:uiPriority w:val="99"/>
    <w:rsid w:val="00943A4F"/>
    <w:rPr>
      <w:color w:val="808080"/>
      <w:shd w:val="clear" w:color="auto" w:fill="E6E6E6"/>
    </w:rPr>
  </w:style>
  <w:style w:type="character" w:styleId="FollowedHyperlink">
    <w:name w:val="FollowedHyperlink"/>
    <w:basedOn w:val="DefaultParagraphFont"/>
    <w:uiPriority w:val="99"/>
    <w:semiHidden/>
    <w:unhideWhenUsed/>
    <w:rsid w:val="00943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1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in6.org" TargetMode="External"/><Relationship Id="rId5" Type="http://schemas.openxmlformats.org/officeDocument/2006/relationships/hyperlink" Target="https://thebluebench.org/get-help/for-myself/groups-and-workshop-description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Alpert, Megan R</dc:creator>
  <cp:keywords/>
  <dc:description/>
  <cp:lastModifiedBy>Alpert, Megan R</cp:lastModifiedBy>
  <cp:revision>3</cp:revision>
  <dcterms:created xsi:type="dcterms:W3CDTF">2018-05-15T17:52:00Z</dcterms:created>
  <dcterms:modified xsi:type="dcterms:W3CDTF">2018-05-15T17:52:00Z</dcterms:modified>
</cp:coreProperties>
</file>